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transferências recebidas por meio de convênios, acordos ou instrumentos congêneres</w:t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 e demais normas aplicáveis, informa que, no per</w:t>
      </w:r>
      <w:r>
        <w:rPr>
          <w:rFonts w:ascii="Arial" w:hAnsi="Arial" w:cs="Arial" w:eastAsia="Arial"/>
          <w:sz w:val="24"/>
        </w:rPr>
        <w:t xml:space="preserve">íodo compreendido entre os exercícios de 2022 a 2026, não celebrou convênios, acordos, ajustes ou instrumentos congêneres que envolvessem o recebimento de transferências de recursos financeiros provenientes de outros órgãos ou entidades públicas ou privadas</w:t>
      </w:r>
      <w:r>
        <w:rPr>
          <w:rFonts w:ascii="Arial" w:hAnsi="Arial" w:cs="Arial" w:eastAsia="Arial"/>
          <w:sz w:val="24"/>
        </w:rPr>
        <w:t xml:space="preserve">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não há informações a divulgar quanto à identificação de transferências recebidas, incluindo valor total previsto dos recursos envolvidos, valor efetivamente recebido, objeto da transferência e origem dos recursos (órgão repassador ou concedente</w:t>
      </w:r>
      <w:r>
        <w:rPr>
          <w:rFonts w:ascii="Arial" w:hAnsi="Arial" w:cs="Arial" w:eastAsia="Arial"/>
          <w:sz w:val="24"/>
        </w:rPr>
        <w:t xml:space="preserve">), em razão da inexistência de instrumentos dessa natureza no período indicado.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celebrados convênios, acordos ou instrumentos congêneres que impliquem recebimento de recursos, hipótese em que as informações correspondentes serão disponibilizadas no Portal da Transparência,</w:t>
      </w:r>
      <w:r>
        <w:rPr>
          <w:rFonts w:ascii="Arial" w:hAnsi="Arial" w:cs="Arial" w:eastAsia="Arial"/>
          <w:sz w:val="24"/>
        </w:rPr>
        <w:t xml:space="preserve"> nos termos da legislação vigente.</w:t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Período de referência: 2025</w:t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2026-05-13T13:52:41Z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