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Acordos Firmados Sem Transferência de Recursos Financeiros</w:t>
      </w:r>
      <w:r>
        <w:rPr>
          <w:rFonts w:ascii="Arial" w:hAnsi="Arial" w:cs="Arial" w:eastAsia="Arial"/>
          <w:b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acordos, termos de cooperação, protocolos de intenções ou quaisquer instrumentos congêneres que não envolvessem transferência de recursos financeiros, razão pela qual não há informações a di</w:t>
      </w:r>
      <w:r>
        <w:rPr>
          <w:rFonts w:ascii="Arial" w:hAnsi="Arial" w:cs="Arial" w:eastAsia="Arial"/>
          <w:sz w:val="24"/>
        </w:rPr>
        <w:t xml:space="preserve">vulgar relativas à identificação das partes, objeto e obrigações ajustadas.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considerando a inexistência de instrumentos dessa natureza no período indicado, não há registros a serem publicados para atendimento deste item específico no Portal da Transparência.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acordos ou instrumentos congêneres sem transferência de recursos financeiros, hipótese em que as informações pertinentes serão disponibilizadas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  <w:t xml:space="preserve">Ano de referência: 2024</w:t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